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50" w:type="dxa"/>
        <w:tblInd w:w="300" w:type="dxa"/>
        <w:tblCellMar>
          <w:left w:w="0" w:type="dxa"/>
          <w:right w:w="0" w:type="dxa"/>
        </w:tblCellMar>
        <w:tblLook w:val="04A0" w:firstRow="1" w:lastRow="0" w:firstColumn="1" w:lastColumn="0" w:noHBand="0" w:noVBand="1"/>
      </w:tblPr>
      <w:tblGrid>
        <w:gridCol w:w="1260"/>
        <w:gridCol w:w="6990"/>
        <w:gridCol w:w="1200"/>
        <w:gridCol w:w="4200"/>
      </w:tblGrid>
      <w:tr w:rsidR="003E2656" w:rsidRPr="003E2656" w:rsidTr="003E2656">
        <w:tc>
          <w:tcPr>
            <w:tcW w:w="1260" w:type="dxa"/>
            <w:tcMar>
              <w:top w:w="30" w:type="dxa"/>
              <w:left w:w="30" w:type="dxa"/>
              <w:bottom w:w="30" w:type="dxa"/>
              <w:right w:w="30" w:type="dxa"/>
            </w:tcMar>
            <w:vAlign w:val="center"/>
            <w:hideMark/>
          </w:tcPr>
          <w:p w:rsidR="003E2656" w:rsidRPr="003E2656" w:rsidRDefault="003E2656" w:rsidP="003E2656">
            <w:pPr>
              <w:widowControl/>
              <w:spacing w:before="225" w:line="450" w:lineRule="atLeast"/>
              <w:jc w:val="right"/>
              <w:rPr>
                <w:rFonts w:ascii="微软雅黑" w:eastAsia="微软雅黑" w:hAnsi="微软雅黑" w:cs="宋体"/>
                <w:color w:val="8A8989"/>
                <w:kern w:val="0"/>
                <w:sz w:val="20"/>
                <w:szCs w:val="20"/>
              </w:rPr>
            </w:pPr>
            <w:r w:rsidRPr="003E2656">
              <w:rPr>
                <w:rFonts w:ascii="微软雅黑" w:eastAsia="微软雅黑" w:hAnsi="微软雅黑" w:cs="宋体" w:hint="eastAsia"/>
                <w:color w:val="8A8989"/>
                <w:kern w:val="0"/>
                <w:sz w:val="20"/>
                <w:szCs w:val="20"/>
              </w:rPr>
              <w:t>发文机关：</w:t>
            </w:r>
          </w:p>
        </w:tc>
        <w:tc>
          <w:tcPr>
            <w:tcW w:w="6990" w:type="dxa"/>
            <w:tcMar>
              <w:top w:w="30" w:type="dxa"/>
              <w:left w:w="30" w:type="dxa"/>
              <w:bottom w:w="30" w:type="dxa"/>
              <w:right w:w="30" w:type="dxa"/>
            </w:tcMar>
            <w:vAlign w:val="center"/>
            <w:hideMark/>
          </w:tcPr>
          <w:p w:rsidR="003E2656" w:rsidRPr="003E2656" w:rsidRDefault="003E2656" w:rsidP="003E2656">
            <w:pPr>
              <w:widowControl/>
              <w:spacing w:before="225" w:line="450" w:lineRule="atLeast"/>
              <w:jc w:val="left"/>
              <w:rPr>
                <w:rFonts w:ascii="微软雅黑" w:eastAsia="微软雅黑" w:hAnsi="微软雅黑" w:cs="宋体"/>
                <w:color w:val="8A8989"/>
                <w:kern w:val="0"/>
                <w:sz w:val="20"/>
                <w:szCs w:val="20"/>
              </w:rPr>
            </w:pPr>
            <w:r w:rsidRPr="003E2656">
              <w:rPr>
                <w:rFonts w:ascii="微软雅黑" w:eastAsia="微软雅黑" w:hAnsi="微软雅黑" w:cs="宋体" w:hint="eastAsia"/>
                <w:color w:val="8A8989"/>
                <w:kern w:val="0"/>
                <w:sz w:val="20"/>
                <w:szCs w:val="20"/>
              </w:rPr>
              <w:t>中共山东省委组织部 山东省发展和改革委员会 山东省经济和信息化委员会 山东省教育厅 山东省科学技术厅 山东省财政厅 山东省卫生和计划生育委员会</w:t>
            </w:r>
          </w:p>
        </w:tc>
        <w:tc>
          <w:tcPr>
            <w:tcW w:w="1200" w:type="dxa"/>
            <w:tcMar>
              <w:top w:w="30" w:type="dxa"/>
              <w:left w:w="30" w:type="dxa"/>
              <w:bottom w:w="30" w:type="dxa"/>
              <w:right w:w="30" w:type="dxa"/>
            </w:tcMar>
            <w:vAlign w:val="center"/>
            <w:hideMark/>
          </w:tcPr>
          <w:p w:rsidR="003E2656" w:rsidRPr="003E2656" w:rsidRDefault="003E2656" w:rsidP="003E2656">
            <w:pPr>
              <w:widowControl/>
              <w:spacing w:before="225" w:line="450" w:lineRule="atLeast"/>
              <w:jc w:val="right"/>
              <w:rPr>
                <w:rFonts w:ascii="微软雅黑" w:eastAsia="微软雅黑" w:hAnsi="微软雅黑" w:cs="宋体"/>
                <w:color w:val="8A8989"/>
                <w:kern w:val="0"/>
                <w:sz w:val="20"/>
                <w:szCs w:val="20"/>
              </w:rPr>
            </w:pPr>
            <w:r w:rsidRPr="003E2656">
              <w:rPr>
                <w:rFonts w:ascii="微软雅黑" w:eastAsia="微软雅黑" w:hAnsi="微软雅黑" w:cs="宋体" w:hint="eastAsia"/>
                <w:color w:val="8A8989"/>
                <w:kern w:val="0"/>
                <w:sz w:val="20"/>
                <w:szCs w:val="20"/>
              </w:rPr>
              <w:t>发文字号：</w:t>
            </w:r>
          </w:p>
        </w:tc>
        <w:tc>
          <w:tcPr>
            <w:tcW w:w="4200" w:type="dxa"/>
            <w:tcMar>
              <w:top w:w="30" w:type="dxa"/>
              <w:left w:w="30" w:type="dxa"/>
              <w:bottom w:w="30" w:type="dxa"/>
              <w:right w:w="30" w:type="dxa"/>
            </w:tcMar>
            <w:vAlign w:val="center"/>
            <w:hideMark/>
          </w:tcPr>
          <w:p w:rsidR="003E2656" w:rsidRPr="003E2656" w:rsidRDefault="003E2656" w:rsidP="003E2656">
            <w:pPr>
              <w:widowControl/>
              <w:spacing w:before="225" w:line="450" w:lineRule="atLeast"/>
              <w:jc w:val="left"/>
              <w:rPr>
                <w:rFonts w:ascii="微软雅黑" w:eastAsia="微软雅黑" w:hAnsi="微软雅黑" w:cs="宋体"/>
                <w:color w:val="8A8989"/>
                <w:kern w:val="0"/>
                <w:sz w:val="20"/>
                <w:szCs w:val="20"/>
              </w:rPr>
            </w:pPr>
            <w:proofErr w:type="gramStart"/>
            <w:r w:rsidRPr="003E2656">
              <w:rPr>
                <w:rFonts w:ascii="微软雅黑" w:eastAsia="微软雅黑" w:hAnsi="微软雅黑" w:cs="宋体" w:hint="eastAsia"/>
                <w:color w:val="8A8989"/>
                <w:kern w:val="0"/>
                <w:sz w:val="20"/>
                <w:szCs w:val="20"/>
              </w:rPr>
              <w:t>鲁组字</w:t>
            </w:r>
            <w:proofErr w:type="gramEnd"/>
            <w:r w:rsidRPr="003E2656">
              <w:rPr>
                <w:rFonts w:ascii="微软雅黑" w:eastAsia="微软雅黑" w:hAnsi="微软雅黑" w:cs="宋体" w:hint="eastAsia"/>
                <w:color w:val="8A8989"/>
                <w:kern w:val="0"/>
                <w:sz w:val="20"/>
                <w:szCs w:val="20"/>
              </w:rPr>
              <w:t>〔2018〕29号</w:t>
            </w:r>
          </w:p>
        </w:tc>
      </w:tr>
      <w:tr w:rsidR="003E2656" w:rsidRPr="003E2656" w:rsidTr="003E2656">
        <w:tc>
          <w:tcPr>
            <w:tcW w:w="0" w:type="auto"/>
            <w:tcMar>
              <w:top w:w="30" w:type="dxa"/>
              <w:left w:w="30" w:type="dxa"/>
              <w:bottom w:w="30" w:type="dxa"/>
              <w:right w:w="30" w:type="dxa"/>
            </w:tcMar>
            <w:vAlign w:val="center"/>
            <w:hideMark/>
          </w:tcPr>
          <w:p w:rsidR="003E2656" w:rsidRPr="003E2656" w:rsidRDefault="003E2656" w:rsidP="003E2656">
            <w:pPr>
              <w:widowControl/>
              <w:spacing w:before="225" w:line="450" w:lineRule="atLeast"/>
              <w:jc w:val="right"/>
              <w:rPr>
                <w:rFonts w:ascii="微软雅黑" w:eastAsia="微软雅黑" w:hAnsi="微软雅黑" w:cs="宋体"/>
                <w:color w:val="8A8989"/>
                <w:kern w:val="0"/>
                <w:sz w:val="20"/>
                <w:szCs w:val="20"/>
              </w:rPr>
            </w:pPr>
            <w:r w:rsidRPr="003E2656">
              <w:rPr>
                <w:rFonts w:ascii="微软雅黑" w:eastAsia="微软雅黑" w:hAnsi="微软雅黑" w:cs="宋体" w:hint="eastAsia"/>
                <w:color w:val="8A8989"/>
                <w:kern w:val="0"/>
                <w:sz w:val="20"/>
                <w:szCs w:val="20"/>
              </w:rPr>
              <w:t>成文日期：</w:t>
            </w:r>
          </w:p>
        </w:tc>
        <w:tc>
          <w:tcPr>
            <w:tcW w:w="0" w:type="auto"/>
            <w:tcMar>
              <w:top w:w="30" w:type="dxa"/>
              <w:left w:w="30" w:type="dxa"/>
              <w:bottom w:w="30" w:type="dxa"/>
              <w:right w:w="30" w:type="dxa"/>
            </w:tcMar>
            <w:vAlign w:val="center"/>
            <w:hideMark/>
          </w:tcPr>
          <w:p w:rsidR="003E2656" w:rsidRPr="003E2656" w:rsidRDefault="003E2656" w:rsidP="003E2656">
            <w:pPr>
              <w:widowControl/>
              <w:spacing w:before="225" w:line="450" w:lineRule="atLeast"/>
              <w:jc w:val="left"/>
              <w:rPr>
                <w:rFonts w:ascii="微软雅黑" w:eastAsia="微软雅黑" w:hAnsi="微软雅黑" w:cs="宋体"/>
                <w:color w:val="8A8989"/>
                <w:kern w:val="0"/>
                <w:sz w:val="20"/>
                <w:szCs w:val="20"/>
              </w:rPr>
            </w:pPr>
            <w:r w:rsidRPr="003E2656">
              <w:rPr>
                <w:rFonts w:ascii="微软雅黑" w:eastAsia="微软雅黑" w:hAnsi="微软雅黑" w:cs="宋体" w:hint="eastAsia"/>
                <w:color w:val="8A8989"/>
                <w:kern w:val="0"/>
                <w:sz w:val="20"/>
                <w:szCs w:val="20"/>
              </w:rPr>
              <w:t>2018年06月15日</w:t>
            </w:r>
          </w:p>
        </w:tc>
        <w:tc>
          <w:tcPr>
            <w:tcW w:w="0" w:type="auto"/>
            <w:tcMar>
              <w:top w:w="30" w:type="dxa"/>
              <w:left w:w="30" w:type="dxa"/>
              <w:bottom w:w="30" w:type="dxa"/>
              <w:right w:w="30" w:type="dxa"/>
            </w:tcMar>
            <w:vAlign w:val="center"/>
            <w:hideMark/>
          </w:tcPr>
          <w:p w:rsidR="003E2656" w:rsidRPr="003E2656" w:rsidRDefault="003E2656" w:rsidP="003E2656">
            <w:pPr>
              <w:widowControl/>
              <w:spacing w:before="225" w:line="450" w:lineRule="atLeast"/>
              <w:jc w:val="right"/>
              <w:rPr>
                <w:rFonts w:ascii="微软雅黑" w:eastAsia="微软雅黑" w:hAnsi="微软雅黑" w:cs="宋体"/>
                <w:color w:val="8A8989"/>
                <w:kern w:val="0"/>
                <w:sz w:val="20"/>
                <w:szCs w:val="20"/>
              </w:rPr>
            </w:pPr>
            <w:r w:rsidRPr="003E2656">
              <w:rPr>
                <w:rFonts w:ascii="微软雅黑" w:eastAsia="微软雅黑" w:hAnsi="微软雅黑" w:cs="宋体" w:hint="eastAsia"/>
                <w:color w:val="8A8989"/>
                <w:kern w:val="0"/>
                <w:sz w:val="20"/>
                <w:szCs w:val="20"/>
              </w:rPr>
              <w:t>发布日期：</w:t>
            </w:r>
          </w:p>
        </w:tc>
        <w:tc>
          <w:tcPr>
            <w:tcW w:w="0" w:type="auto"/>
            <w:tcMar>
              <w:top w:w="30" w:type="dxa"/>
              <w:left w:w="30" w:type="dxa"/>
              <w:bottom w:w="30" w:type="dxa"/>
              <w:right w:w="30" w:type="dxa"/>
            </w:tcMar>
            <w:vAlign w:val="center"/>
            <w:hideMark/>
          </w:tcPr>
          <w:p w:rsidR="003E2656" w:rsidRPr="003E2656" w:rsidRDefault="003E2656" w:rsidP="003E2656">
            <w:pPr>
              <w:widowControl/>
              <w:spacing w:before="225" w:line="450" w:lineRule="atLeast"/>
              <w:jc w:val="left"/>
              <w:rPr>
                <w:rFonts w:ascii="微软雅黑" w:eastAsia="微软雅黑" w:hAnsi="微软雅黑" w:cs="宋体"/>
                <w:color w:val="8A8989"/>
                <w:kern w:val="0"/>
                <w:sz w:val="20"/>
                <w:szCs w:val="20"/>
              </w:rPr>
            </w:pPr>
            <w:r w:rsidRPr="003E2656">
              <w:rPr>
                <w:rFonts w:ascii="微软雅黑" w:eastAsia="微软雅黑" w:hAnsi="微软雅黑" w:cs="宋体" w:hint="eastAsia"/>
                <w:color w:val="8A8989"/>
                <w:kern w:val="0"/>
                <w:sz w:val="20"/>
                <w:szCs w:val="20"/>
              </w:rPr>
              <w:t>2018年06月22日</w:t>
            </w:r>
          </w:p>
        </w:tc>
      </w:tr>
      <w:tr w:rsidR="003E2656" w:rsidRPr="003E2656" w:rsidTr="003E2656">
        <w:tc>
          <w:tcPr>
            <w:tcW w:w="0" w:type="auto"/>
            <w:tcMar>
              <w:top w:w="30" w:type="dxa"/>
              <w:left w:w="30" w:type="dxa"/>
              <w:bottom w:w="30" w:type="dxa"/>
              <w:right w:w="30" w:type="dxa"/>
            </w:tcMar>
            <w:vAlign w:val="center"/>
            <w:hideMark/>
          </w:tcPr>
          <w:p w:rsidR="003E2656" w:rsidRPr="003E2656" w:rsidRDefault="003E2656" w:rsidP="003E2656">
            <w:pPr>
              <w:widowControl/>
              <w:spacing w:before="225" w:line="450" w:lineRule="atLeast"/>
              <w:jc w:val="right"/>
              <w:rPr>
                <w:rFonts w:ascii="微软雅黑" w:eastAsia="微软雅黑" w:hAnsi="微软雅黑" w:cs="宋体"/>
                <w:color w:val="8A8989"/>
                <w:kern w:val="0"/>
                <w:sz w:val="20"/>
                <w:szCs w:val="20"/>
              </w:rPr>
            </w:pPr>
            <w:proofErr w:type="gramStart"/>
            <w:r w:rsidRPr="003E2656">
              <w:rPr>
                <w:rFonts w:ascii="微软雅黑" w:eastAsia="微软雅黑" w:hAnsi="微软雅黑" w:cs="宋体" w:hint="eastAsia"/>
                <w:color w:val="8A8989"/>
                <w:kern w:val="0"/>
                <w:sz w:val="20"/>
                <w:szCs w:val="20"/>
              </w:rPr>
              <w:t xml:space="preserve">标　　</w:t>
            </w:r>
            <w:proofErr w:type="gramEnd"/>
            <w:r w:rsidRPr="003E2656">
              <w:rPr>
                <w:rFonts w:ascii="微软雅黑" w:eastAsia="微软雅黑" w:hAnsi="微软雅黑" w:cs="宋体" w:hint="eastAsia"/>
                <w:color w:val="8A8989"/>
                <w:kern w:val="0"/>
                <w:sz w:val="20"/>
                <w:szCs w:val="20"/>
              </w:rPr>
              <w:t>题：</w:t>
            </w:r>
          </w:p>
        </w:tc>
        <w:tc>
          <w:tcPr>
            <w:tcW w:w="0" w:type="auto"/>
            <w:gridSpan w:val="3"/>
            <w:tcMar>
              <w:top w:w="30" w:type="dxa"/>
              <w:left w:w="30" w:type="dxa"/>
              <w:bottom w:w="30" w:type="dxa"/>
              <w:right w:w="30" w:type="dxa"/>
            </w:tcMar>
            <w:vAlign w:val="center"/>
            <w:hideMark/>
          </w:tcPr>
          <w:p w:rsidR="003E2656" w:rsidRPr="003E2656" w:rsidRDefault="003E2656" w:rsidP="003E2656">
            <w:pPr>
              <w:widowControl/>
              <w:spacing w:before="225" w:line="450" w:lineRule="atLeast"/>
              <w:jc w:val="left"/>
              <w:rPr>
                <w:rFonts w:ascii="微软雅黑" w:eastAsia="微软雅黑" w:hAnsi="微软雅黑" w:cs="宋体"/>
                <w:color w:val="8A8989"/>
                <w:kern w:val="0"/>
                <w:sz w:val="20"/>
                <w:szCs w:val="20"/>
              </w:rPr>
            </w:pPr>
            <w:r w:rsidRPr="003E2656">
              <w:rPr>
                <w:rFonts w:ascii="微软雅黑" w:eastAsia="微软雅黑" w:hAnsi="微软雅黑" w:cs="宋体" w:hint="eastAsia"/>
                <w:color w:val="8A8989"/>
                <w:kern w:val="0"/>
                <w:sz w:val="20"/>
                <w:szCs w:val="20"/>
              </w:rPr>
              <w:t>关于做好2018年引进顶尖人才“一事一议”申报工作的通知</w:t>
            </w:r>
          </w:p>
        </w:tc>
      </w:tr>
    </w:tbl>
    <w:p w:rsidR="003E2656" w:rsidRPr="003E2656" w:rsidRDefault="003E2656" w:rsidP="003E2656">
      <w:pPr>
        <w:widowControl/>
        <w:shd w:val="clear" w:color="auto" w:fill="FFFFFF"/>
        <w:spacing w:after="100" w:afterAutospacing="1" w:line="468" w:lineRule="auto"/>
        <w:jc w:val="center"/>
        <w:rPr>
          <w:rFonts w:ascii="‘宋体’" w:eastAsia="‘宋体’" w:hAnsi="微软雅黑" w:cs="宋体"/>
          <w:kern w:val="0"/>
          <w:sz w:val="24"/>
          <w:szCs w:val="24"/>
        </w:rPr>
      </w:pPr>
      <w:r w:rsidRPr="003E2656">
        <w:rPr>
          <w:rFonts w:ascii="‘宋体’" w:eastAsia="‘宋体’" w:hAnsi="微软雅黑" w:cs="宋体" w:hint="eastAsia"/>
          <w:kern w:val="0"/>
          <w:sz w:val="24"/>
          <w:szCs w:val="24"/>
        </w:rPr>
        <w:t> </w:t>
      </w:r>
    </w:p>
    <w:p w:rsidR="003E2656" w:rsidRPr="003E2656" w:rsidRDefault="003E2656" w:rsidP="003E2656">
      <w:pPr>
        <w:widowControl/>
        <w:shd w:val="clear" w:color="auto" w:fill="FFFFFF"/>
        <w:wordWrap w:val="0"/>
        <w:spacing w:before="150" w:after="100" w:afterAutospacing="1" w:line="560" w:lineRule="atLeast"/>
        <w:jc w:val="center"/>
        <w:rPr>
          <w:rFonts w:ascii="宋体" w:eastAsia="宋体" w:hAnsi="宋体" w:cs="宋体" w:hint="eastAsia"/>
          <w:kern w:val="0"/>
          <w:sz w:val="24"/>
          <w:szCs w:val="24"/>
        </w:rPr>
      </w:pPr>
      <w:r w:rsidRPr="003E2656">
        <w:rPr>
          <w:rFonts w:ascii="宋体" w:eastAsia="宋体" w:hAnsi="宋体" w:cs="宋体" w:hint="eastAsia"/>
          <w:b/>
          <w:bCs/>
          <w:kern w:val="0"/>
          <w:sz w:val="44"/>
          <w:szCs w:val="44"/>
        </w:rPr>
        <w:t>关于做好2018年引进顶尖人才“一事一议”申报工作的通知</w:t>
      </w:r>
    </w:p>
    <w:p w:rsidR="003E2656" w:rsidRPr="003E2656" w:rsidRDefault="003E2656" w:rsidP="003E2656">
      <w:pPr>
        <w:widowControl/>
        <w:shd w:val="clear" w:color="auto" w:fill="FFFFFF"/>
        <w:wordWrap w:val="0"/>
        <w:spacing w:before="150" w:after="100" w:afterAutospacing="1" w:line="560" w:lineRule="atLeast"/>
        <w:jc w:val="center"/>
        <w:rPr>
          <w:rFonts w:ascii="宋体" w:eastAsia="宋体" w:hAnsi="宋体" w:cs="宋体" w:hint="eastAsia"/>
          <w:kern w:val="0"/>
          <w:sz w:val="24"/>
          <w:szCs w:val="24"/>
        </w:rPr>
      </w:pPr>
      <w:r w:rsidRPr="003E2656">
        <w:rPr>
          <w:rFonts w:ascii="宋体" w:eastAsia="宋体" w:hAnsi="宋体" w:cs="宋体" w:hint="eastAsia"/>
          <w:b/>
          <w:bCs/>
          <w:kern w:val="0"/>
          <w:sz w:val="44"/>
          <w:szCs w:val="44"/>
        </w:rPr>
        <w:t> </w:t>
      </w:r>
    </w:p>
    <w:p w:rsidR="003E2656" w:rsidRPr="003E2656" w:rsidRDefault="003E2656" w:rsidP="003E2656">
      <w:pPr>
        <w:widowControl/>
        <w:shd w:val="clear" w:color="auto" w:fill="FFFFFF"/>
        <w:tabs>
          <w:tab w:val="left" w:pos="3240"/>
        </w:tabs>
        <w:wordWrap w:val="0"/>
        <w:spacing w:before="150" w:after="100" w:afterAutospacing="1" w:line="560" w:lineRule="atLeast"/>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各市党委组织部，政府发展改革委、经济和信息化委、教育局、科技局、财政局、卫生计生委，省直有关部门（单位），省委管理的各国有重要骨干企业党委，各高等院校党委，有关中央驻鲁单位党委（党组）：</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为深入学习贯彻习近平新时代中国特色社会主义思想，全面贯彻落实党的十九大精神，实行更加积极开放有效的人才政策，聚天下英才而用之，按照《关于做好人才支撑新旧动能转换工作的意见》（</w:t>
      </w:r>
      <w:proofErr w:type="gramStart"/>
      <w:r w:rsidRPr="003E2656">
        <w:rPr>
          <w:rFonts w:ascii="宋体" w:eastAsia="宋体" w:hAnsi="宋体" w:cs="宋体" w:hint="eastAsia"/>
          <w:kern w:val="0"/>
          <w:sz w:val="24"/>
          <w:szCs w:val="24"/>
        </w:rPr>
        <w:t>鲁发〔2017〕</w:t>
      </w:r>
      <w:proofErr w:type="gramEnd"/>
      <w:r w:rsidRPr="003E2656">
        <w:rPr>
          <w:rFonts w:ascii="宋体" w:eastAsia="宋体" w:hAnsi="宋体" w:cs="宋体" w:hint="eastAsia"/>
          <w:kern w:val="0"/>
          <w:sz w:val="24"/>
          <w:szCs w:val="24"/>
        </w:rPr>
        <w:t>26号）和《引进顶尖人才“一事一议”实施办法》（</w:t>
      </w:r>
      <w:proofErr w:type="gramStart"/>
      <w:r w:rsidRPr="003E2656">
        <w:rPr>
          <w:rFonts w:ascii="宋体" w:eastAsia="宋体" w:hAnsi="宋体" w:cs="宋体" w:hint="eastAsia"/>
          <w:kern w:val="0"/>
          <w:sz w:val="24"/>
          <w:szCs w:val="24"/>
        </w:rPr>
        <w:t>鲁组发</w:t>
      </w:r>
      <w:proofErr w:type="gramEnd"/>
      <w:r w:rsidRPr="003E2656">
        <w:rPr>
          <w:rFonts w:ascii="宋体" w:eastAsia="宋体" w:hAnsi="宋体" w:cs="宋体" w:hint="eastAsia"/>
          <w:kern w:val="0"/>
          <w:sz w:val="24"/>
          <w:szCs w:val="24"/>
        </w:rPr>
        <w:t>〔2016〕25号）规定，现就做好2018年引进顶尖人才“一事一议”申报工作通知如下：</w:t>
      </w:r>
    </w:p>
    <w:p w:rsidR="003E2656" w:rsidRPr="003E2656" w:rsidRDefault="003E2656" w:rsidP="003E2656">
      <w:pPr>
        <w:widowControl/>
        <w:shd w:val="clear" w:color="auto" w:fill="FFFFFF"/>
        <w:wordWrap w:val="0"/>
        <w:spacing w:before="150" w:after="100" w:afterAutospacing="1" w:line="560" w:lineRule="atLeast"/>
        <w:ind w:firstLine="645"/>
        <w:jc w:val="left"/>
        <w:rPr>
          <w:rFonts w:ascii="宋体" w:eastAsia="宋体" w:hAnsi="宋体" w:cs="宋体" w:hint="eastAsia"/>
          <w:kern w:val="0"/>
          <w:sz w:val="24"/>
          <w:szCs w:val="24"/>
        </w:rPr>
      </w:pPr>
      <w:r w:rsidRPr="003E2656">
        <w:rPr>
          <w:rFonts w:ascii="黑体" w:eastAsia="黑体" w:hAnsi="黑体" w:cs="宋体" w:hint="eastAsia"/>
          <w:b/>
          <w:bCs/>
          <w:kern w:val="0"/>
          <w:sz w:val="24"/>
          <w:szCs w:val="24"/>
        </w:rPr>
        <w:t>一、支持重点</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聚焦服务我省新旧动能转换重大工程、乡村振兴战略、海洋强省建设，围绕新一代信息技术、高端装备、新能源新材料、现代海洋、</w:t>
      </w:r>
      <w:proofErr w:type="gramStart"/>
      <w:r w:rsidRPr="003E2656">
        <w:rPr>
          <w:rFonts w:ascii="宋体" w:eastAsia="宋体" w:hAnsi="宋体" w:cs="宋体" w:hint="eastAsia"/>
          <w:kern w:val="0"/>
          <w:sz w:val="24"/>
          <w:szCs w:val="24"/>
        </w:rPr>
        <w:t>医养健康</w:t>
      </w:r>
      <w:proofErr w:type="gramEnd"/>
      <w:r w:rsidRPr="003E2656">
        <w:rPr>
          <w:rFonts w:ascii="宋体" w:eastAsia="宋体" w:hAnsi="宋体" w:cs="宋体" w:hint="eastAsia"/>
          <w:kern w:val="0"/>
          <w:sz w:val="24"/>
          <w:szCs w:val="24"/>
        </w:rPr>
        <w:t>和高端化工、</w:t>
      </w:r>
      <w:r w:rsidRPr="003E2656">
        <w:rPr>
          <w:rFonts w:ascii="宋体" w:eastAsia="宋体" w:hAnsi="宋体" w:cs="宋体" w:hint="eastAsia"/>
          <w:kern w:val="0"/>
          <w:sz w:val="24"/>
          <w:szCs w:val="24"/>
        </w:rPr>
        <w:lastRenderedPageBreak/>
        <w:t xml:space="preserve">现代高效农业、文化创意、精品旅游、现代金融服务等新旧动能转换“十强”产业领域，重点支持引进拥有关键核心技术或自主知识产权，对我省产业发展具有重大引领作用，能够创造重大经济社会效益的顶尖人才。    </w:t>
      </w:r>
    </w:p>
    <w:p w:rsidR="003E2656" w:rsidRPr="003E2656" w:rsidRDefault="003E2656" w:rsidP="003E2656">
      <w:pPr>
        <w:widowControl/>
        <w:shd w:val="clear" w:color="auto" w:fill="FFFFFF"/>
        <w:wordWrap w:val="0"/>
        <w:spacing w:before="150" w:after="100" w:afterAutospacing="1" w:line="560" w:lineRule="atLeast"/>
        <w:ind w:firstLine="645"/>
        <w:jc w:val="left"/>
        <w:rPr>
          <w:rFonts w:ascii="宋体" w:eastAsia="宋体" w:hAnsi="宋体" w:cs="宋体" w:hint="eastAsia"/>
          <w:kern w:val="0"/>
          <w:sz w:val="24"/>
          <w:szCs w:val="24"/>
        </w:rPr>
      </w:pPr>
      <w:r w:rsidRPr="003E2656">
        <w:rPr>
          <w:rFonts w:ascii="黑体" w:eastAsia="黑体" w:hAnsi="黑体" w:cs="宋体" w:hint="eastAsia"/>
          <w:b/>
          <w:bCs/>
          <w:kern w:val="0"/>
          <w:sz w:val="24"/>
          <w:szCs w:val="24"/>
        </w:rPr>
        <w:t>二、申报范围</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1、山东省行政区划内拥有省级以上创新平台（主要包括省级以上重点实验室、技术创新中心、工程〔技术〕研究中心、工程实验室、重点学科、企业技术中心、企业重点实验室、临床重点专科，国家和省“双一流”立项建设学科、博士学位授权点，省级千人计划工作站、院士工作站等）的高等学校、科研院所、医疗机构、企业或省级以上园区（指高新技术开发区、经济技术开发区、农业科技园区等）均可申报。在我省新创办的法</w:t>
      </w:r>
      <w:proofErr w:type="gramStart"/>
      <w:r w:rsidRPr="003E2656">
        <w:rPr>
          <w:rFonts w:ascii="宋体" w:eastAsia="宋体" w:hAnsi="宋体" w:cs="宋体" w:hint="eastAsia"/>
          <w:kern w:val="0"/>
          <w:sz w:val="24"/>
          <w:szCs w:val="24"/>
        </w:rPr>
        <w:t>人制</w:t>
      </w:r>
      <w:proofErr w:type="gramEnd"/>
      <w:r w:rsidRPr="003E2656">
        <w:rPr>
          <w:rFonts w:ascii="宋体" w:eastAsia="宋体" w:hAnsi="宋体" w:cs="宋体" w:hint="eastAsia"/>
          <w:kern w:val="0"/>
          <w:sz w:val="24"/>
          <w:szCs w:val="24"/>
        </w:rPr>
        <w:t>科技创新平台也可申报。不受理个人申报。</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2、住鲁院士，全职引进的国家“千人计划”专家、泰山学者、泰山产业领军人才不在申报范围内。</w:t>
      </w:r>
      <w:proofErr w:type="gramStart"/>
      <w:r w:rsidRPr="003E2656">
        <w:rPr>
          <w:rFonts w:ascii="宋体" w:eastAsia="宋体" w:hAnsi="宋体" w:cs="宋体" w:hint="eastAsia"/>
          <w:kern w:val="0"/>
          <w:sz w:val="24"/>
          <w:szCs w:val="24"/>
        </w:rPr>
        <w:t>在鲁双聘院士</w:t>
      </w:r>
      <w:proofErr w:type="gramEnd"/>
      <w:r w:rsidRPr="003E2656">
        <w:rPr>
          <w:rFonts w:ascii="宋体" w:eastAsia="宋体" w:hAnsi="宋体" w:cs="宋体" w:hint="eastAsia"/>
          <w:kern w:val="0"/>
          <w:sz w:val="24"/>
          <w:szCs w:val="24"/>
        </w:rPr>
        <w:t>，兼职选聘的国家“千人计划”专家、泰山学者、泰山产业领军人才如全职到我省工作可以申报。</w:t>
      </w:r>
    </w:p>
    <w:p w:rsidR="003E2656" w:rsidRPr="003E2656" w:rsidRDefault="003E2656" w:rsidP="003E2656">
      <w:pPr>
        <w:widowControl/>
        <w:shd w:val="clear" w:color="auto" w:fill="FFFFFF"/>
        <w:wordWrap w:val="0"/>
        <w:spacing w:before="150" w:after="100" w:afterAutospacing="1" w:line="560" w:lineRule="atLeast"/>
        <w:ind w:firstLine="645"/>
        <w:jc w:val="left"/>
        <w:rPr>
          <w:rFonts w:ascii="宋体" w:eastAsia="宋体" w:hAnsi="宋体" w:cs="宋体" w:hint="eastAsia"/>
          <w:kern w:val="0"/>
          <w:sz w:val="24"/>
          <w:szCs w:val="24"/>
        </w:rPr>
      </w:pPr>
      <w:r w:rsidRPr="003E2656">
        <w:rPr>
          <w:rFonts w:ascii="黑体" w:eastAsia="黑体" w:hAnsi="黑体" w:cs="宋体" w:hint="eastAsia"/>
          <w:b/>
          <w:bCs/>
          <w:kern w:val="0"/>
          <w:sz w:val="24"/>
          <w:szCs w:val="24"/>
        </w:rPr>
        <w:t>三、申报条件</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除满足《引进顶尖人才“一事一议”实施办法》规定的条件以外，还须满足下列条件：</w:t>
      </w:r>
    </w:p>
    <w:p w:rsidR="003E2656" w:rsidRPr="003E2656" w:rsidRDefault="003E2656" w:rsidP="003E2656">
      <w:pPr>
        <w:widowControl/>
        <w:shd w:val="clear" w:color="auto" w:fill="FFFFFF"/>
        <w:wordWrap w:val="0"/>
        <w:spacing w:before="150" w:after="100" w:afterAutospacing="1" w:line="560" w:lineRule="atLeast"/>
        <w:ind w:firstLine="645"/>
        <w:jc w:val="left"/>
        <w:rPr>
          <w:rFonts w:ascii="宋体" w:eastAsia="宋体" w:hAnsi="宋体" w:cs="宋体" w:hint="eastAsia"/>
          <w:kern w:val="0"/>
          <w:sz w:val="24"/>
          <w:szCs w:val="24"/>
        </w:rPr>
      </w:pPr>
      <w:r w:rsidRPr="003E2656">
        <w:rPr>
          <w:rFonts w:ascii="楷体" w:eastAsia="楷体" w:hAnsi="楷体" w:cs="宋体" w:hint="eastAsia"/>
          <w:kern w:val="0"/>
          <w:sz w:val="24"/>
          <w:szCs w:val="24"/>
        </w:rPr>
        <w:t>（一）科技创新类</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1、杰出人才全职引进</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lastRenderedPageBreak/>
        <w:t>（1）人才与我省用人单位签订4年以上具有法律效力的全职劳动（聘用）合同，或与我省用人单位签订4年以上具有法律效力的工作协议，每年来我省工作9个月以上。</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（2）高等学校、科研院所、医疗机构实际给付人才计缴所得税年度薪酬总额，每年不低于100万元；企业实际给付人才计缴所得税年度薪酬总额，每年不低于200万元。</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3）高等学校、科研院所、医疗机构为人才牵头主持的科研攻关、平台建设项目，提供不低于3000万元的资金投入；企业为人才牵头实施的科技研发项目，提供不低于3000万元的自有资金投入，项目产业化总投资不低于1亿元。</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（4）市属单位申报的，申报时须已纳入或在公布后半年内纳入市级“一事一议”政策或其他引进顶尖人才政策资金支持。</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（5）人才为2017年以来引进的，或发文公布后3个月以内全职到岗的。</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2、杰出人才柔性引进</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（1）人才与我省用人单位签订4年以上具有法律效力的工作协议，通过项目合作、技术指导、培训咨询等方式，每年来我省工作时间不少于2个月。</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（2）高等学校、科研院所、医疗机构实际给付人才计缴所得税年度薪酬总额，每年不低于100万元；企业实际给付人才计缴所得税年度薪酬总额，每年不低于200万元。</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lastRenderedPageBreak/>
        <w:t>（3）高等学校、科研院所、医疗机构为人才牵头主持的科研攻关、平台建设项目，提供不低于3000万元的资金投入；企业为人才牵头实施的科技研发项目，提供不低于3000万元的自有资金投入，项目产业化总投资不低于1亿元。</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（4）市属单位申报的，申报时须已纳入或在公布后半年内纳入市级“一事一议”政策或其他引进顶尖人才政策资金支持。</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（5）以团队方式为我省新全职引进不少于2名泰山学者特聘专家层次的领军人才、集聚一批有较大潜力的青年拔尖人才。</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3、领军人才全职引进</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（1）人才与我省用人单位签订4年以上具有法律效力的全职劳动（聘用）合同，或与我省用人单位签订4年以上具有法律效力的工作协议，每年来我省工作9个月以上。</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（2）高等学校、科研院所、医疗机构实际给付人才计缴所得税年度薪酬总额，每年不低于50万元；企业实际给付人才计缴所得税年度薪酬总额，每年不低于100万元。</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3）高等学校、科研院所、医疗机构为人才牵头主持的科研攻关、平台建设项目，提供不低于1000万元的资金投入；企业为人才牵头实施的科技研发项目，提供不低于3000万元的自有资金投入，项目产业化总投资不低于1亿元。</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（4）市属单位申报的，申报时须已纳入或在公布后半年内纳入市级“一事一议”政策或其他引进顶尖人才政策资金支持。</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（5）人才为2017年以来引进的，或发文公布后3个月以内全职到岗的。</w:t>
      </w:r>
    </w:p>
    <w:p w:rsidR="003E2656" w:rsidRPr="003E2656" w:rsidRDefault="003E2656" w:rsidP="003E2656">
      <w:pPr>
        <w:widowControl/>
        <w:shd w:val="clear" w:color="auto" w:fill="FFFFFF"/>
        <w:wordWrap w:val="0"/>
        <w:spacing w:before="150" w:after="100" w:afterAutospacing="1" w:line="560" w:lineRule="atLeast"/>
        <w:ind w:firstLine="645"/>
        <w:jc w:val="left"/>
        <w:rPr>
          <w:rFonts w:ascii="宋体" w:eastAsia="宋体" w:hAnsi="宋体" w:cs="宋体" w:hint="eastAsia"/>
          <w:kern w:val="0"/>
          <w:sz w:val="24"/>
          <w:szCs w:val="24"/>
        </w:rPr>
      </w:pPr>
      <w:r w:rsidRPr="003E2656">
        <w:rPr>
          <w:rFonts w:ascii="楷体" w:eastAsia="楷体" w:hAnsi="楷体" w:cs="宋体" w:hint="eastAsia"/>
          <w:kern w:val="0"/>
          <w:sz w:val="24"/>
          <w:szCs w:val="24"/>
        </w:rPr>
        <w:lastRenderedPageBreak/>
        <w:t>（二）创办企业类</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1、人才作为主要创办人，在我省创办具有国际一流技术水平、能够推动我省产业转型升级的企业，本人为第一大股东且占股30%以上。</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2、人才不能在省外海外创办可能存在同业竞争的同类企业，项目产业化要落地在山东省行政区划内。</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3、企业注册成立时间为2017年1月1日至2018年6月30日，需具有独立法人资格。</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4、企业注册资金和实际到位资金均不低于5000万元，且三年内不得抽走。</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5、申报时须已纳入或在公布后半年内纳入市级“一事一议”政策或其他引进顶尖人才政策资金支持。</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6、创业团队核心成员有成功创业经验或曾任国际知名企业中高层管理职位，团队拥有技术研发、经营管理、市场营销等专业人才，具备重大科技成果产业化的能力，且多数核心成员有合作经历。</w:t>
      </w:r>
    </w:p>
    <w:p w:rsidR="003E2656" w:rsidRPr="003E2656" w:rsidRDefault="003E2656" w:rsidP="003E2656">
      <w:pPr>
        <w:widowControl/>
        <w:shd w:val="clear" w:color="auto" w:fill="FFFFFF"/>
        <w:wordWrap w:val="0"/>
        <w:spacing w:before="150" w:after="100" w:afterAutospacing="1" w:line="560" w:lineRule="atLeast"/>
        <w:ind w:firstLine="645"/>
        <w:jc w:val="left"/>
        <w:rPr>
          <w:rFonts w:ascii="宋体" w:eastAsia="宋体" w:hAnsi="宋体" w:cs="宋体" w:hint="eastAsia"/>
          <w:kern w:val="0"/>
          <w:sz w:val="24"/>
          <w:szCs w:val="24"/>
        </w:rPr>
      </w:pPr>
      <w:r w:rsidRPr="003E2656">
        <w:rPr>
          <w:rFonts w:ascii="楷体" w:eastAsia="楷体" w:hAnsi="楷体" w:cs="宋体" w:hint="eastAsia"/>
          <w:kern w:val="0"/>
          <w:sz w:val="24"/>
          <w:szCs w:val="24"/>
        </w:rPr>
        <w:t>（三）创办平台类</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1、人才作为主要创办人或首席科学家，在我省创办或参与创办能够推动我省新旧动能转换、具有持续创新成果转化能力和重大经济社会效益的法</w:t>
      </w:r>
      <w:proofErr w:type="gramStart"/>
      <w:r w:rsidRPr="003E2656">
        <w:rPr>
          <w:rFonts w:ascii="宋体" w:eastAsia="宋体" w:hAnsi="宋体" w:cs="宋体" w:hint="eastAsia"/>
          <w:kern w:val="0"/>
          <w:sz w:val="24"/>
          <w:szCs w:val="24"/>
        </w:rPr>
        <w:t>人制</w:t>
      </w:r>
      <w:proofErr w:type="gramEnd"/>
      <w:r w:rsidRPr="003E2656">
        <w:rPr>
          <w:rFonts w:ascii="宋体" w:eastAsia="宋体" w:hAnsi="宋体" w:cs="宋体" w:hint="eastAsia"/>
          <w:kern w:val="0"/>
          <w:sz w:val="24"/>
          <w:szCs w:val="24"/>
        </w:rPr>
        <w:t>科技创新平台。</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2、人才不能在省外海外创办可能存在同业竞争的同类平台，项目产业化要落地在山东省行政区划内。</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lastRenderedPageBreak/>
        <w:t>3、创办平台注册成立时间为2017年1月1日至2018年6月30日，需具有独立法人资格。</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4、创办平台实际给付人才计缴所得税年度薪酬总额，每年不低于100万元。</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5、创办平台注册资金和实际到位资金均不低于5000万元，且三年内不得抽走，平台建设资金投入不低于1亿元。</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6、市属单位申报的，申报时须已纳入或在公布后半年内纳入市级“一事一议”政策或其他引进顶尖人才政策资金支持。</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7、以团队方式为我省新全职引进不少于2名泰山学者特聘专家层次的领军人才、集聚一批有较大潜力的青年拔尖人才。</w:t>
      </w:r>
    </w:p>
    <w:p w:rsidR="003E2656" w:rsidRPr="003E2656" w:rsidRDefault="003E2656" w:rsidP="003E2656">
      <w:pPr>
        <w:widowControl/>
        <w:shd w:val="clear" w:color="auto" w:fill="FFFFFF"/>
        <w:wordWrap w:val="0"/>
        <w:spacing w:before="150" w:after="100" w:afterAutospacing="1" w:line="560" w:lineRule="atLeast"/>
        <w:ind w:firstLine="645"/>
        <w:jc w:val="left"/>
        <w:rPr>
          <w:rFonts w:ascii="宋体" w:eastAsia="宋体" w:hAnsi="宋体" w:cs="宋体" w:hint="eastAsia"/>
          <w:kern w:val="0"/>
          <w:sz w:val="24"/>
          <w:szCs w:val="24"/>
        </w:rPr>
      </w:pPr>
      <w:r w:rsidRPr="003E2656">
        <w:rPr>
          <w:rFonts w:ascii="黑体" w:eastAsia="黑体" w:hAnsi="黑体" w:cs="宋体" w:hint="eastAsia"/>
          <w:b/>
          <w:bCs/>
          <w:kern w:val="0"/>
          <w:sz w:val="24"/>
          <w:szCs w:val="24"/>
        </w:rPr>
        <w:t>四、申报程序</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1、申报工作依托省人才公共服务信息平台（以下简称信息平台）开展，网址：http://www.rcsd.cn。申报人选须在信息平台注册，填写高层次人才库信息并保存后，进入一事一议申报系统，向申报单位（园区）提交申请；申报单位（园区）须在信息平台注册后，进入一事一议申报系统，审核申报人选信息，按程序提交申报书。</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2、高等院校、科研院所（含新创办的法</w:t>
      </w:r>
      <w:proofErr w:type="gramStart"/>
      <w:r w:rsidRPr="003E2656">
        <w:rPr>
          <w:rFonts w:ascii="宋体" w:eastAsia="宋体" w:hAnsi="宋体" w:cs="宋体" w:hint="eastAsia"/>
          <w:kern w:val="0"/>
          <w:sz w:val="24"/>
          <w:szCs w:val="24"/>
        </w:rPr>
        <w:t>人制</w:t>
      </w:r>
      <w:proofErr w:type="gramEnd"/>
      <w:r w:rsidRPr="003E2656">
        <w:rPr>
          <w:rFonts w:ascii="宋体" w:eastAsia="宋体" w:hAnsi="宋体" w:cs="宋体" w:hint="eastAsia"/>
          <w:kern w:val="0"/>
          <w:sz w:val="24"/>
          <w:szCs w:val="24"/>
        </w:rPr>
        <w:t>科技创新平台）、医疗机构分别报送省教育厅、科技厅、卫生计生委；企业和园区根据申报项目类别归属分别报送省发展改革委、经济和信息化委、科技厅；中央驻鲁和省属单位按领域直接报送，市属单位由市人才工作领导小组办公室按领域分别报送省主管部门。</w:t>
      </w:r>
    </w:p>
    <w:p w:rsidR="003E2656" w:rsidRPr="003E2656" w:rsidRDefault="003E2656" w:rsidP="003E2656">
      <w:pPr>
        <w:widowControl/>
        <w:shd w:val="clear" w:color="auto" w:fill="FFFFFF"/>
        <w:wordWrap w:val="0"/>
        <w:spacing w:before="150" w:after="100" w:afterAutospacing="1" w:line="560" w:lineRule="atLeast"/>
        <w:ind w:firstLine="645"/>
        <w:jc w:val="left"/>
        <w:rPr>
          <w:rFonts w:ascii="宋体" w:eastAsia="宋体" w:hAnsi="宋体" w:cs="宋体" w:hint="eastAsia"/>
          <w:kern w:val="0"/>
          <w:sz w:val="24"/>
          <w:szCs w:val="24"/>
        </w:rPr>
      </w:pPr>
      <w:r w:rsidRPr="003E2656">
        <w:rPr>
          <w:rFonts w:ascii="黑体" w:eastAsia="黑体" w:hAnsi="黑体" w:cs="宋体" w:hint="eastAsia"/>
          <w:b/>
          <w:bCs/>
          <w:kern w:val="0"/>
          <w:sz w:val="24"/>
          <w:szCs w:val="24"/>
        </w:rPr>
        <w:t>五、有关要求</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lastRenderedPageBreak/>
        <w:t>1、符合申报条件的用人单位或园区，以单位党委或</w:t>
      </w:r>
      <w:proofErr w:type="gramStart"/>
      <w:r w:rsidRPr="003E2656">
        <w:rPr>
          <w:rFonts w:ascii="宋体" w:eastAsia="宋体" w:hAnsi="宋体" w:cs="宋体" w:hint="eastAsia"/>
          <w:kern w:val="0"/>
          <w:sz w:val="24"/>
          <w:szCs w:val="24"/>
        </w:rPr>
        <w:t>园区党</w:t>
      </w:r>
      <w:proofErr w:type="gramEnd"/>
      <w:r w:rsidRPr="003E2656">
        <w:rPr>
          <w:rFonts w:ascii="宋体" w:eastAsia="宋体" w:hAnsi="宋体" w:cs="宋体" w:hint="eastAsia"/>
          <w:kern w:val="0"/>
          <w:sz w:val="24"/>
          <w:szCs w:val="24"/>
        </w:rPr>
        <w:t>工委名义向省人才工作领导小组办公室及主管部门提报《关于申报引进顶尖人才“一事一议”的报告》、申报人选申报书及有效证明材料，证明材料要包含纳入市级“一事一议”政策或其他引进顶尖人才政策资金支持的正式文件或承诺书等有效材料。企业和园区申报时还须提供由全国性的会计师事务所、律师事务所对项目开展的尽职调查报告。其中，高等学校、科研院所、医疗机构全职引进的杰出人才、领军人才填写科技创新A类申报书（附件1），高等学校、科研院所、医疗机构柔性引进的杰出人才填写科技创新B类申报书（附件2），企业全职引进的杰出人才、领军人才填写科技创新C类申报书（附件3），企业柔性引进的杰出人才填写科技创新D类申报书（附件4），园区引进创业的杰出人才、领军人才填写创办企业类申报书（附件5），创办平台引进的杰出人才、领军人才填写创办平台类申报书（附件6）。</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2、各市、各申报单位要严格审核，确保申报信息填写完整，附件及证明材料齐全，真实有效。对于提供虚假材料的申报单位和人选，一经查实，取消该单位和人选申报资格，列入黑名单，并予以通报。</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3、申报采取批次申报和随时受理相结合的方式。本轮批次申报截止到7月31日（周二），各申报单位、各市人才工作领导小组办公室须于申报截止日前，将申报材料报省主管部门，逾期不再受理。各主管部门于8月31日（周五）前完成资格审查工作，对符合条件的人选项目论证研究提出支持建议、项目资助额度和资金筹措来源，形成报告报省人才工作领导小组办公室。以后各市、各单位如有符合条件的人选，可随时申报到省主管部门。省主管部门受理到一定数量时，可向省人才工作领导小组办公室提出启动“一事一议”程序的申请。</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lastRenderedPageBreak/>
        <w:t>4、申报过程中如有政策性问题，请及时与有关省主管部门联系。联系电话：省委组织部人才工作处：0531—51775091；省发展改革委服务业协调处：0531—86191764，</w:t>
      </w:r>
      <w:proofErr w:type="gramStart"/>
      <w:r w:rsidRPr="003E2656">
        <w:rPr>
          <w:rFonts w:ascii="宋体" w:eastAsia="宋体" w:hAnsi="宋体" w:cs="宋体" w:hint="eastAsia"/>
          <w:kern w:val="0"/>
          <w:sz w:val="24"/>
          <w:szCs w:val="24"/>
        </w:rPr>
        <w:t>省重大办</w:t>
      </w:r>
      <w:proofErr w:type="gramEnd"/>
      <w:r w:rsidRPr="003E2656">
        <w:rPr>
          <w:rFonts w:ascii="宋体" w:eastAsia="宋体" w:hAnsi="宋体" w:cs="宋体" w:hint="eastAsia"/>
          <w:kern w:val="0"/>
          <w:sz w:val="24"/>
          <w:szCs w:val="24"/>
        </w:rPr>
        <w:t>区域发展政策处：0531—86191308；省经济和信息化委科技处：0531—86062354；省教育厅人事处：0531—81676752；省科技</w:t>
      </w:r>
      <w:proofErr w:type="gramStart"/>
      <w:r w:rsidRPr="003E2656">
        <w:rPr>
          <w:rFonts w:ascii="宋体" w:eastAsia="宋体" w:hAnsi="宋体" w:cs="宋体" w:hint="eastAsia"/>
          <w:kern w:val="0"/>
          <w:sz w:val="24"/>
          <w:szCs w:val="24"/>
        </w:rPr>
        <w:t>厅科技</w:t>
      </w:r>
      <w:proofErr w:type="gramEnd"/>
      <w:r w:rsidRPr="003E2656">
        <w:rPr>
          <w:rFonts w:ascii="宋体" w:eastAsia="宋体" w:hAnsi="宋体" w:cs="宋体" w:hint="eastAsia"/>
          <w:kern w:val="0"/>
          <w:sz w:val="24"/>
          <w:szCs w:val="24"/>
        </w:rPr>
        <w:t>人才工作处：0531—66777153，农村科技处0531—66777079；省卫生计生委人事处：0531—67876487。</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kern w:val="0"/>
          <w:sz w:val="24"/>
          <w:szCs w:val="24"/>
        </w:rPr>
        <w:t> </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r w:rsidRPr="003E2656">
        <w:rPr>
          <w:rFonts w:ascii="宋体" w:eastAsia="宋体" w:hAnsi="宋体" w:cs="宋体" w:hint="eastAsia"/>
          <w:b/>
          <w:bCs/>
          <w:kern w:val="0"/>
          <w:sz w:val="24"/>
          <w:szCs w:val="24"/>
        </w:rPr>
        <w:t>附件：</w:t>
      </w:r>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hyperlink r:id="rId5" w:history="1">
        <w:r w:rsidRPr="003E2656">
          <w:rPr>
            <w:rFonts w:ascii="宋体" w:eastAsia="宋体" w:hAnsi="宋体" w:cs="宋体" w:hint="eastAsia"/>
            <w:color w:val="0000FF"/>
            <w:kern w:val="0"/>
            <w:sz w:val="24"/>
            <w:szCs w:val="24"/>
          </w:rPr>
          <w:t>1、2018年引进顶尖人才“一事一议”申报书（科技创新A类）</w:t>
        </w:r>
      </w:hyperlink>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hyperlink r:id="rId6" w:history="1">
        <w:r w:rsidRPr="003E2656">
          <w:rPr>
            <w:rFonts w:ascii="宋体" w:eastAsia="宋体" w:hAnsi="宋体" w:cs="宋体" w:hint="eastAsia"/>
            <w:color w:val="0000FF"/>
            <w:kern w:val="0"/>
            <w:sz w:val="24"/>
            <w:szCs w:val="24"/>
          </w:rPr>
          <w:t>2、2018年引进顶尖人才“一事一议”申报书（科技创新B类）</w:t>
        </w:r>
      </w:hyperlink>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hyperlink r:id="rId7" w:history="1">
        <w:r w:rsidRPr="003E2656">
          <w:rPr>
            <w:rFonts w:ascii="宋体" w:eastAsia="宋体" w:hAnsi="宋体" w:cs="宋体" w:hint="eastAsia"/>
            <w:color w:val="0000FF"/>
            <w:kern w:val="0"/>
            <w:sz w:val="24"/>
            <w:szCs w:val="24"/>
          </w:rPr>
          <w:t>3、2018年引进顶尖人才“一事一议”申报书（科技创新C类）</w:t>
        </w:r>
      </w:hyperlink>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hyperlink r:id="rId8" w:history="1">
        <w:r w:rsidRPr="003E2656">
          <w:rPr>
            <w:rFonts w:ascii="宋体" w:eastAsia="宋体" w:hAnsi="宋体" w:cs="宋体" w:hint="eastAsia"/>
            <w:color w:val="0000FF"/>
            <w:kern w:val="0"/>
            <w:sz w:val="24"/>
            <w:szCs w:val="24"/>
          </w:rPr>
          <w:t>4、2018年引进顶尖人才“一事一议”申报书（科技创新D类）</w:t>
        </w:r>
      </w:hyperlink>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hyperlink r:id="rId9" w:history="1">
        <w:r w:rsidRPr="003E2656">
          <w:rPr>
            <w:rFonts w:ascii="宋体" w:eastAsia="宋体" w:hAnsi="宋体" w:cs="宋体" w:hint="eastAsia"/>
            <w:color w:val="0000FF"/>
            <w:kern w:val="0"/>
            <w:sz w:val="24"/>
            <w:szCs w:val="24"/>
          </w:rPr>
          <w:t>5、2018年引进顶尖人才“一事一议”申报书（创办企业类）</w:t>
        </w:r>
      </w:hyperlink>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hyperlink r:id="rId10" w:history="1">
        <w:r w:rsidRPr="003E2656">
          <w:rPr>
            <w:rFonts w:ascii="宋体" w:eastAsia="宋体" w:hAnsi="宋体" w:cs="宋体" w:hint="eastAsia"/>
            <w:color w:val="0000FF"/>
            <w:kern w:val="0"/>
            <w:sz w:val="24"/>
            <w:szCs w:val="24"/>
          </w:rPr>
          <w:t>6、2018年引进顶尖人才“一事一议”申报书（创办平台类）</w:t>
        </w:r>
      </w:hyperlink>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hyperlink r:id="rId11" w:history="1">
        <w:r w:rsidRPr="003E2656">
          <w:rPr>
            <w:rFonts w:ascii="宋体" w:eastAsia="宋体" w:hAnsi="宋体" w:cs="宋体" w:hint="eastAsia"/>
            <w:color w:val="0000FF"/>
            <w:kern w:val="0"/>
            <w:sz w:val="24"/>
            <w:szCs w:val="24"/>
          </w:rPr>
          <w:t>7、项目计划书（模板）</w:t>
        </w:r>
      </w:hyperlink>
    </w:p>
    <w:p w:rsidR="003E2656" w:rsidRPr="003E2656" w:rsidRDefault="003E2656" w:rsidP="003E2656">
      <w:pPr>
        <w:widowControl/>
        <w:shd w:val="clear" w:color="auto" w:fill="FFFFFF"/>
        <w:wordWrap w:val="0"/>
        <w:snapToGrid w:val="0"/>
        <w:spacing w:before="150" w:after="100" w:afterAutospacing="1" w:line="580" w:lineRule="atLeast"/>
        <w:ind w:firstLine="480"/>
        <w:jc w:val="left"/>
        <w:rPr>
          <w:rFonts w:ascii="宋体" w:eastAsia="宋体" w:hAnsi="宋体" w:cs="宋体" w:hint="eastAsia"/>
          <w:kern w:val="0"/>
          <w:sz w:val="24"/>
          <w:szCs w:val="24"/>
        </w:rPr>
      </w:pPr>
      <w:hyperlink r:id="rId12" w:history="1">
        <w:r w:rsidRPr="003E2656">
          <w:rPr>
            <w:rFonts w:ascii="宋体" w:eastAsia="宋体" w:hAnsi="宋体" w:cs="宋体" w:hint="eastAsia"/>
            <w:color w:val="0000FF"/>
            <w:kern w:val="0"/>
            <w:sz w:val="24"/>
            <w:szCs w:val="24"/>
          </w:rPr>
          <w:t>8、申报承诺书（模板）</w:t>
        </w:r>
      </w:hyperlink>
    </w:p>
    <w:p w:rsidR="003E2656" w:rsidRPr="003E2656" w:rsidRDefault="003E2656" w:rsidP="003E2656">
      <w:pPr>
        <w:widowControl/>
        <w:shd w:val="clear" w:color="auto" w:fill="FFFFFF"/>
        <w:wordWrap w:val="0"/>
        <w:spacing w:before="150" w:after="100" w:afterAutospacing="1" w:line="580" w:lineRule="atLeast"/>
        <w:jc w:val="left"/>
        <w:rPr>
          <w:rFonts w:ascii="宋体" w:eastAsia="宋体" w:hAnsi="宋体" w:cs="宋体" w:hint="eastAsia"/>
          <w:kern w:val="0"/>
          <w:sz w:val="24"/>
          <w:szCs w:val="24"/>
        </w:rPr>
      </w:pPr>
      <w:r w:rsidRPr="003E2656">
        <w:rPr>
          <w:rFonts w:ascii="宋体" w:eastAsia="宋体" w:hAnsi="宋体" w:cs="宋体" w:hint="eastAsia"/>
          <w:kern w:val="0"/>
          <w:sz w:val="32"/>
          <w:szCs w:val="32"/>
        </w:rPr>
        <w:t> </w:t>
      </w:r>
    </w:p>
    <w:p w:rsidR="003E2656" w:rsidRPr="003E2656" w:rsidRDefault="003E2656" w:rsidP="003E2656">
      <w:pPr>
        <w:widowControl/>
        <w:shd w:val="clear" w:color="auto" w:fill="FFFFFF"/>
        <w:wordWrap w:val="0"/>
        <w:autoSpaceDE w:val="0"/>
        <w:spacing w:before="100" w:after="100"/>
        <w:ind w:firstLine="480"/>
        <w:jc w:val="right"/>
        <w:rPr>
          <w:rFonts w:ascii="宋体" w:eastAsia="宋体" w:hAnsi="宋体" w:cs="宋体" w:hint="eastAsia"/>
          <w:kern w:val="0"/>
          <w:sz w:val="24"/>
          <w:szCs w:val="24"/>
        </w:rPr>
      </w:pPr>
      <w:r w:rsidRPr="003E2656">
        <w:rPr>
          <w:rFonts w:ascii="宋体" w:eastAsia="宋体" w:hAnsi="宋体" w:cs="宋体" w:hint="eastAsia"/>
          <w:kern w:val="0"/>
          <w:sz w:val="24"/>
          <w:szCs w:val="24"/>
        </w:rPr>
        <w:t>中共山东省委组织部</w:t>
      </w:r>
    </w:p>
    <w:p w:rsidR="003E2656" w:rsidRPr="003E2656" w:rsidRDefault="003E2656" w:rsidP="003E2656">
      <w:pPr>
        <w:widowControl/>
        <w:shd w:val="clear" w:color="auto" w:fill="FFFFFF"/>
        <w:wordWrap w:val="0"/>
        <w:autoSpaceDE w:val="0"/>
        <w:spacing w:before="100" w:after="100"/>
        <w:ind w:firstLine="480"/>
        <w:jc w:val="right"/>
        <w:rPr>
          <w:rFonts w:ascii="宋体" w:eastAsia="宋体" w:hAnsi="宋体" w:cs="宋体" w:hint="eastAsia"/>
          <w:kern w:val="0"/>
          <w:sz w:val="24"/>
          <w:szCs w:val="24"/>
        </w:rPr>
      </w:pPr>
      <w:r w:rsidRPr="003E2656">
        <w:rPr>
          <w:rFonts w:ascii="宋体" w:eastAsia="宋体" w:hAnsi="宋体" w:cs="宋体" w:hint="eastAsia"/>
          <w:kern w:val="0"/>
          <w:sz w:val="24"/>
          <w:szCs w:val="24"/>
        </w:rPr>
        <w:lastRenderedPageBreak/>
        <w:t>山东省发展和改革委员会</w:t>
      </w:r>
    </w:p>
    <w:p w:rsidR="003E2656" w:rsidRPr="003E2656" w:rsidRDefault="003E2656" w:rsidP="003E2656">
      <w:pPr>
        <w:widowControl/>
        <w:shd w:val="clear" w:color="auto" w:fill="FFFFFF"/>
        <w:wordWrap w:val="0"/>
        <w:autoSpaceDE w:val="0"/>
        <w:spacing w:before="100" w:after="100"/>
        <w:ind w:firstLine="480"/>
        <w:jc w:val="right"/>
        <w:rPr>
          <w:rFonts w:ascii="宋体" w:eastAsia="宋体" w:hAnsi="宋体" w:cs="宋体" w:hint="eastAsia"/>
          <w:kern w:val="0"/>
          <w:sz w:val="24"/>
          <w:szCs w:val="24"/>
        </w:rPr>
      </w:pPr>
      <w:r w:rsidRPr="003E2656">
        <w:rPr>
          <w:rFonts w:ascii="宋体" w:eastAsia="宋体" w:hAnsi="宋体" w:cs="宋体" w:hint="eastAsia"/>
          <w:kern w:val="0"/>
          <w:sz w:val="24"/>
          <w:szCs w:val="24"/>
        </w:rPr>
        <w:t>山东省经济和信息化委员会</w:t>
      </w:r>
    </w:p>
    <w:p w:rsidR="003E2656" w:rsidRPr="003E2656" w:rsidRDefault="003E2656" w:rsidP="003E2656">
      <w:pPr>
        <w:widowControl/>
        <w:shd w:val="clear" w:color="auto" w:fill="FFFFFF"/>
        <w:wordWrap w:val="0"/>
        <w:autoSpaceDE w:val="0"/>
        <w:spacing w:before="100" w:after="100"/>
        <w:ind w:firstLine="480"/>
        <w:jc w:val="right"/>
        <w:rPr>
          <w:rFonts w:ascii="宋体" w:eastAsia="宋体" w:hAnsi="宋体" w:cs="宋体" w:hint="eastAsia"/>
          <w:kern w:val="0"/>
          <w:sz w:val="24"/>
          <w:szCs w:val="24"/>
        </w:rPr>
      </w:pPr>
      <w:r w:rsidRPr="003E2656">
        <w:rPr>
          <w:rFonts w:ascii="宋体" w:eastAsia="宋体" w:hAnsi="宋体" w:cs="宋体" w:hint="eastAsia"/>
          <w:kern w:val="0"/>
          <w:sz w:val="24"/>
          <w:szCs w:val="24"/>
        </w:rPr>
        <w:t>山东省教育厅</w:t>
      </w:r>
    </w:p>
    <w:p w:rsidR="003E2656" w:rsidRPr="003E2656" w:rsidRDefault="003E2656" w:rsidP="003E2656">
      <w:pPr>
        <w:widowControl/>
        <w:shd w:val="clear" w:color="auto" w:fill="FFFFFF"/>
        <w:wordWrap w:val="0"/>
        <w:autoSpaceDE w:val="0"/>
        <w:spacing w:before="100" w:after="100"/>
        <w:ind w:firstLine="480"/>
        <w:jc w:val="right"/>
        <w:rPr>
          <w:rFonts w:ascii="宋体" w:eastAsia="宋体" w:hAnsi="宋体" w:cs="宋体" w:hint="eastAsia"/>
          <w:kern w:val="0"/>
          <w:sz w:val="24"/>
          <w:szCs w:val="24"/>
        </w:rPr>
      </w:pPr>
      <w:r w:rsidRPr="003E2656">
        <w:rPr>
          <w:rFonts w:ascii="宋体" w:eastAsia="宋体" w:hAnsi="宋体" w:cs="宋体" w:hint="eastAsia"/>
          <w:kern w:val="0"/>
          <w:sz w:val="24"/>
          <w:szCs w:val="24"/>
        </w:rPr>
        <w:t>山东省科学技术厅</w:t>
      </w:r>
    </w:p>
    <w:p w:rsidR="003E2656" w:rsidRPr="003E2656" w:rsidRDefault="003E2656" w:rsidP="003E2656">
      <w:pPr>
        <w:widowControl/>
        <w:shd w:val="clear" w:color="auto" w:fill="FFFFFF"/>
        <w:wordWrap w:val="0"/>
        <w:autoSpaceDE w:val="0"/>
        <w:spacing w:before="100" w:after="100"/>
        <w:ind w:firstLine="480"/>
        <w:jc w:val="right"/>
        <w:rPr>
          <w:rFonts w:ascii="宋体" w:eastAsia="宋体" w:hAnsi="宋体" w:cs="宋体" w:hint="eastAsia"/>
          <w:kern w:val="0"/>
          <w:sz w:val="24"/>
          <w:szCs w:val="24"/>
        </w:rPr>
      </w:pPr>
      <w:r w:rsidRPr="003E2656">
        <w:rPr>
          <w:rFonts w:ascii="宋体" w:eastAsia="宋体" w:hAnsi="宋体" w:cs="宋体" w:hint="eastAsia"/>
          <w:kern w:val="0"/>
          <w:sz w:val="24"/>
          <w:szCs w:val="24"/>
        </w:rPr>
        <w:t>山东省财政厅</w:t>
      </w:r>
    </w:p>
    <w:p w:rsidR="003E2656" w:rsidRPr="003E2656" w:rsidRDefault="003E2656" w:rsidP="003E2656">
      <w:pPr>
        <w:widowControl/>
        <w:shd w:val="clear" w:color="auto" w:fill="FFFFFF"/>
        <w:wordWrap w:val="0"/>
        <w:autoSpaceDE w:val="0"/>
        <w:spacing w:before="100" w:after="100"/>
        <w:ind w:firstLine="480"/>
        <w:jc w:val="right"/>
        <w:rPr>
          <w:rFonts w:ascii="宋体" w:eastAsia="宋体" w:hAnsi="宋体" w:cs="宋体" w:hint="eastAsia"/>
          <w:kern w:val="0"/>
          <w:sz w:val="24"/>
          <w:szCs w:val="24"/>
        </w:rPr>
      </w:pPr>
      <w:r w:rsidRPr="003E2656">
        <w:rPr>
          <w:rFonts w:ascii="宋体" w:eastAsia="宋体" w:hAnsi="宋体" w:cs="宋体" w:hint="eastAsia"/>
          <w:kern w:val="0"/>
          <w:sz w:val="24"/>
          <w:szCs w:val="24"/>
        </w:rPr>
        <w:t>山东省卫生和计划生育委员会</w:t>
      </w:r>
    </w:p>
    <w:p w:rsidR="003E2656" w:rsidRPr="003E2656" w:rsidRDefault="003E2656" w:rsidP="003E2656">
      <w:pPr>
        <w:widowControl/>
        <w:shd w:val="clear" w:color="auto" w:fill="FFFFFF"/>
        <w:wordWrap w:val="0"/>
        <w:autoSpaceDE w:val="0"/>
        <w:spacing w:before="100"/>
        <w:ind w:firstLine="480"/>
        <w:jc w:val="right"/>
        <w:rPr>
          <w:rFonts w:ascii="宋体" w:eastAsia="宋体" w:hAnsi="宋体" w:cs="宋体" w:hint="eastAsia"/>
          <w:kern w:val="0"/>
          <w:sz w:val="24"/>
          <w:szCs w:val="24"/>
        </w:rPr>
      </w:pPr>
      <w:r w:rsidRPr="003E2656">
        <w:rPr>
          <w:rFonts w:ascii="宋体" w:eastAsia="宋体" w:hAnsi="宋体" w:cs="宋体" w:hint="eastAsia"/>
          <w:kern w:val="0"/>
          <w:sz w:val="24"/>
          <w:szCs w:val="24"/>
        </w:rPr>
        <w:t>                                2018年6月15日</w:t>
      </w:r>
    </w:p>
    <w:p w:rsidR="00C96CF0" w:rsidRDefault="00C96CF0">
      <w:bookmarkStart w:id="0" w:name="_GoBack"/>
      <w:bookmarkEnd w:id="0"/>
    </w:p>
    <w:sectPr w:rsidR="00C96C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AA"/>
    <w:rsid w:val="00095AD6"/>
    <w:rsid w:val="000D17FA"/>
    <w:rsid w:val="000F4FC0"/>
    <w:rsid w:val="000F717A"/>
    <w:rsid w:val="003772F7"/>
    <w:rsid w:val="003A588E"/>
    <w:rsid w:val="003E2656"/>
    <w:rsid w:val="003E7F74"/>
    <w:rsid w:val="00482A2F"/>
    <w:rsid w:val="004C7D71"/>
    <w:rsid w:val="00505C60"/>
    <w:rsid w:val="00663A00"/>
    <w:rsid w:val="00676DDA"/>
    <w:rsid w:val="006B4A96"/>
    <w:rsid w:val="007301DA"/>
    <w:rsid w:val="007F0F29"/>
    <w:rsid w:val="0083083B"/>
    <w:rsid w:val="008909C8"/>
    <w:rsid w:val="00903A0C"/>
    <w:rsid w:val="00995D66"/>
    <w:rsid w:val="009A532E"/>
    <w:rsid w:val="009E0BBA"/>
    <w:rsid w:val="00A66FBB"/>
    <w:rsid w:val="00B258E3"/>
    <w:rsid w:val="00B50569"/>
    <w:rsid w:val="00B75924"/>
    <w:rsid w:val="00B85D86"/>
    <w:rsid w:val="00B96191"/>
    <w:rsid w:val="00C37B63"/>
    <w:rsid w:val="00C96CF0"/>
    <w:rsid w:val="00CB2569"/>
    <w:rsid w:val="00CC43BE"/>
    <w:rsid w:val="00D6176F"/>
    <w:rsid w:val="00D70EE0"/>
    <w:rsid w:val="00DE40AA"/>
    <w:rsid w:val="00E203DB"/>
    <w:rsid w:val="00E50386"/>
    <w:rsid w:val="00E71806"/>
    <w:rsid w:val="00E91168"/>
    <w:rsid w:val="00EC61ED"/>
    <w:rsid w:val="00F44CC6"/>
    <w:rsid w:val="00F63189"/>
    <w:rsid w:val="00FF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23304">
      <w:bodyDiv w:val="1"/>
      <w:marLeft w:val="0"/>
      <w:marRight w:val="0"/>
      <w:marTop w:val="0"/>
      <w:marBottom w:val="0"/>
      <w:divBdr>
        <w:top w:val="none" w:sz="0" w:space="0" w:color="auto"/>
        <w:left w:val="none" w:sz="0" w:space="0" w:color="auto"/>
        <w:bottom w:val="none" w:sz="0" w:space="0" w:color="auto"/>
        <w:right w:val="none" w:sz="0" w:space="0" w:color="auto"/>
      </w:divBdr>
      <w:divsChild>
        <w:div w:id="1046491297">
          <w:marLeft w:val="0"/>
          <w:marRight w:val="0"/>
          <w:marTop w:val="0"/>
          <w:marBottom w:val="0"/>
          <w:divBdr>
            <w:top w:val="none" w:sz="0" w:space="0" w:color="auto"/>
            <w:left w:val="none" w:sz="0" w:space="0" w:color="auto"/>
            <w:bottom w:val="none" w:sz="0" w:space="0" w:color="auto"/>
            <w:right w:val="none" w:sz="0" w:space="0" w:color="auto"/>
          </w:divBdr>
          <w:divsChild>
            <w:div w:id="1353922562">
              <w:marLeft w:val="0"/>
              <w:marRight w:val="0"/>
              <w:marTop w:val="0"/>
              <w:marBottom w:val="0"/>
              <w:divBdr>
                <w:top w:val="none" w:sz="0" w:space="0" w:color="auto"/>
                <w:left w:val="none" w:sz="0" w:space="0" w:color="auto"/>
                <w:bottom w:val="none" w:sz="0" w:space="0" w:color="auto"/>
                <w:right w:val="none" w:sz="0" w:space="0" w:color="auto"/>
              </w:divBdr>
              <w:divsChild>
                <w:div w:id="1779058755">
                  <w:marLeft w:val="0"/>
                  <w:marRight w:val="0"/>
                  <w:marTop w:val="120"/>
                  <w:marBottom w:val="120"/>
                  <w:divBdr>
                    <w:top w:val="single" w:sz="6" w:space="0" w:color="DEDEDE"/>
                    <w:left w:val="single" w:sz="6" w:space="0" w:color="DEDEDE"/>
                    <w:bottom w:val="single" w:sz="6" w:space="0" w:color="DEDEDE"/>
                    <w:right w:val="single" w:sz="6" w:space="0" w:color="DEDEDE"/>
                  </w:divBdr>
                  <w:divsChild>
                    <w:div w:id="591813648">
                      <w:marLeft w:val="0"/>
                      <w:marRight w:val="0"/>
                      <w:marTop w:val="225"/>
                      <w:marBottom w:val="120"/>
                      <w:divBdr>
                        <w:top w:val="none" w:sz="0" w:space="0" w:color="auto"/>
                        <w:left w:val="none" w:sz="0" w:space="0" w:color="auto"/>
                        <w:bottom w:val="dotted" w:sz="6" w:space="11" w:color="DDDDDD"/>
                        <w:right w:val="none" w:sz="0" w:space="0" w:color="auto"/>
                      </w:divBdr>
                      <w:divsChild>
                        <w:div w:id="1026516476">
                          <w:marLeft w:val="0"/>
                          <w:marRight w:val="0"/>
                          <w:marTop w:val="0"/>
                          <w:marBottom w:val="0"/>
                          <w:divBdr>
                            <w:top w:val="none" w:sz="0" w:space="0" w:color="auto"/>
                            <w:left w:val="none" w:sz="0" w:space="0" w:color="auto"/>
                            <w:bottom w:val="none" w:sz="0" w:space="0" w:color="auto"/>
                            <w:right w:val="none" w:sz="0" w:space="0" w:color="auto"/>
                          </w:divBdr>
                        </w:div>
                      </w:divsChild>
                    </w:div>
                    <w:div w:id="704019371">
                      <w:marLeft w:val="0"/>
                      <w:marRight w:val="0"/>
                      <w:marTop w:val="300"/>
                      <w:marBottom w:val="120"/>
                      <w:divBdr>
                        <w:top w:val="none" w:sz="0" w:space="0" w:color="auto"/>
                        <w:left w:val="none" w:sz="0" w:space="0" w:color="auto"/>
                        <w:bottom w:val="none" w:sz="0" w:space="0" w:color="auto"/>
                        <w:right w:val="none" w:sz="0" w:space="0" w:color="auto"/>
                      </w:divBdr>
                      <w:divsChild>
                        <w:div w:id="638074385">
                          <w:marLeft w:val="0"/>
                          <w:marRight w:val="0"/>
                          <w:marTop w:val="0"/>
                          <w:marBottom w:val="0"/>
                          <w:divBdr>
                            <w:top w:val="none" w:sz="0" w:space="0" w:color="auto"/>
                            <w:left w:val="none" w:sz="0" w:space="0" w:color="auto"/>
                            <w:bottom w:val="none" w:sz="0" w:space="0" w:color="auto"/>
                            <w:right w:val="none" w:sz="0" w:space="0" w:color="auto"/>
                          </w:divBdr>
                          <w:divsChild>
                            <w:div w:id="21213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sd.cn/tzggn/201806/W020180621593082565535.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cn/tzggn/201806/W020180621593082504628.doc" TargetMode="External"/><Relationship Id="rId12" Type="http://schemas.openxmlformats.org/officeDocument/2006/relationships/hyperlink" Target="http://www.rcsd.cn/tzggn/201806/W02018062159308336774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csd.cn/tzggn/201806/W020180621593082434449.doc" TargetMode="External"/><Relationship Id="rId11" Type="http://schemas.openxmlformats.org/officeDocument/2006/relationships/hyperlink" Target="http://www.rcsd.cn/tzggn/201806/W020180621593082753416.docx" TargetMode="External"/><Relationship Id="rId5" Type="http://schemas.openxmlformats.org/officeDocument/2006/relationships/hyperlink" Target="http://www.rcsd.cn/tzggn/201806/W020180621593082366834.doc" TargetMode="External"/><Relationship Id="rId10" Type="http://schemas.openxmlformats.org/officeDocument/2006/relationships/hyperlink" Target="http://www.rcsd.cn/tzggn/201806/W020180621593082685932.doc" TargetMode="External"/><Relationship Id="rId4" Type="http://schemas.openxmlformats.org/officeDocument/2006/relationships/webSettings" Target="webSettings.xml"/><Relationship Id="rId9" Type="http://schemas.openxmlformats.org/officeDocument/2006/relationships/hyperlink" Target="http://www.rcsd.cn/tzggn/201806/W020180621593082629548.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745</Words>
  <Characters>4248</Characters>
  <Application>Microsoft Office Word</Application>
  <DocSecurity>0</DocSecurity>
  <Lines>35</Lines>
  <Paragraphs>9</Paragraphs>
  <ScaleCrop>false</ScaleCrop>
  <Company>微软中国</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王军辉</dc:creator>
  <cp:keywords/>
  <dc:description/>
  <cp:lastModifiedBy>王军辉</cp:lastModifiedBy>
  <cp:revision>2</cp:revision>
  <dcterms:created xsi:type="dcterms:W3CDTF">2018-06-22T01:17:00Z</dcterms:created>
  <dcterms:modified xsi:type="dcterms:W3CDTF">2018-06-22T01:18:00Z</dcterms:modified>
</cp:coreProperties>
</file>