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3C823">
      <w:pP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</w:rPr>
        <w:t>关于2026年度专业技术人员继续教育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其他学习方式的学时认定</w:t>
      </w:r>
    </w:p>
    <w:p w14:paraId="39004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32"/>
          <w:lang w:val="en-US" w:eastAsia="zh-CN" w:bidi="ar-SA"/>
        </w:rPr>
      </w:pPr>
    </w:p>
    <w:p w14:paraId="61325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科研成果奖励、公开发表的学术、技术论文、学术会议交流论文、专利、出版著作、译著等成果。每项（篇、本）计10学时，折算学时每年累计不超过30学时。</w:t>
      </w:r>
    </w:p>
    <w:p w14:paraId="10F81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参加各级党委、政府组织的援派，以及到基层参加支教、支农、支医、扶贫等工作的专业技术人员，援派期间每年可按公需科目30学时、专业科目60学时认定。不足一年的，按月份比例计算。</w:t>
      </w:r>
    </w:p>
    <w:p w14:paraId="7CDF8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有下列情况之一的，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经本人所在单位批准，并提交相关证明材料，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每年可按公需科目30学时、专业科目60学时认定。不足一年的，按月份比例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折算并认定学时。（因公派，年度内在境外工作超过6个月的；因受伤、患重病，年度内请病假超过6个月的；女职工休产假的；经省级行业主管部门认定的其他情况。）</w:t>
      </w:r>
    </w:p>
    <w:p w14:paraId="7A352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参加全国专业技术类职业资格考试，以及行业公认的国际注册类考试，以考试通过的资格证书为依据，认定16学时。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267AF"/>
    <w:rsid w:val="1DA77FB7"/>
    <w:rsid w:val="61EA1E38"/>
    <w:rsid w:val="6F502B92"/>
    <w:rsid w:val="799A0ACD"/>
    <w:rsid w:val="7A80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384</Characters>
  <Lines>0</Lines>
  <Paragraphs>0</Paragraphs>
  <TotalTime>0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2026-04-04T01:23:00Z</dcterms:created>
  <dc:creator>rsc</dc:creator>
  <cp:lastModifiedBy>WPS_1671763415</cp:lastModifiedBy>
  <dcterms:modified xsi:type="dcterms:W3CDTF">2026-04-07T01:10:58Z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eyJoZGlkIjoiYjRiYzdjYzQyOWRmZjE4OGYyN2I4YWNkNDRjZTllNzciLCJ1c2VySWQiOiIxNDYxNzcwNTU1In0=</vt:lpwstr>
  </property>
  <property fmtid="{D5CDD505-2E9C-101B-9397-08002B2CF9AE}" pid="4" name="ICV">
    <vt:lpwstr>E3B1B8DCB470491B85D7E6487B29713A_12</vt:lpwstr>
  </property>
</Properties>
</file>